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right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</w:rPr>
        <w:drawing xmlns:a="http://schemas.openxmlformats.org/drawingml/2006/main">
          <wp:inline distT="0" distB="0" distL="0" distR="0">
            <wp:extent cx="1213485" cy="572770"/>
            <wp:effectExtent l="0" t="0" r="0" b="0"/>
            <wp:docPr id="1073741825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3" descr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5727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 Spacing"/>
        <w:rPr>
          <w:b w:val="1"/>
          <w:bCs w:val="1"/>
          <w:sz w:val="40"/>
          <w:szCs w:val="40"/>
        </w:rPr>
      </w:pPr>
    </w:p>
    <w:p>
      <w:pPr>
        <w:pStyle w:val="No Spacing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Optional Record Sheet for KS2 Writing Teacher Assessment </w:t>
      </w:r>
    </w:p>
    <w:p>
      <w:pPr>
        <w:pStyle w:val="No Spacing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Name:</w:t>
      </w:r>
    </w:p>
    <w:tbl>
      <w:tblPr>
        <w:tblW w:w="141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57"/>
        <w:gridCol w:w="3519"/>
        <w:gridCol w:w="1602"/>
        <w:gridCol w:w="1602"/>
        <w:gridCol w:w="1602"/>
        <w:gridCol w:w="1601"/>
        <w:gridCol w:w="1675"/>
      </w:tblGrid>
      <w:tr>
        <w:tblPrEx>
          <w:shd w:val="clear" w:color="auto" w:fill="d0ddef"/>
        </w:tblPrEx>
        <w:trPr>
          <w:trHeight w:val="396" w:hRule="atLeast"/>
        </w:trPr>
        <w:tc>
          <w:tcPr>
            <w:tcW w:type="dxa" w:w="14158"/>
            <w:gridSpan w:val="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0" w:lineRule="atLeast"/>
            </w:pPr>
            <w:r>
              <w:rPr>
                <w:sz w:val="36"/>
                <w:szCs w:val="36"/>
                <w:shd w:val="clear" w:color="auto" w:fill="c6d9f1"/>
                <w:rtl w:val="0"/>
                <w:lang w:val="en-US"/>
              </w:rPr>
              <w:t xml:space="preserve">End of key stage 2 statutory assessment </w:t>
            </w:r>
            <w:r>
              <w:rPr>
                <w:sz w:val="36"/>
                <w:szCs w:val="36"/>
                <w:shd w:val="clear" w:color="auto" w:fill="c6d9f1"/>
                <w:rtl w:val="0"/>
                <w:lang w:val="en-US"/>
              </w:rPr>
              <w:t xml:space="preserve">– </w:t>
            </w:r>
            <w:r>
              <w:rPr>
                <w:sz w:val="36"/>
                <w:szCs w:val="36"/>
                <w:shd w:val="clear" w:color="auto" w:fill="c6d9f1"/>
                <w:rtl w:val="0"/>
                <w:lang w:val="en-US"/>
              </w:rPr>
              <w:t>Working towards the expected standard</w:t>
            </w:r>
          </w:p>
        </w:tc>
      </w:tr>
      <w:tr>
        <w:tblPrEx>
          <w:shd w:val="clear" w:color="auto" w:fill="d0ddef"/>
        </w:tblPrEx>
        <w:trPr>
          <w:trHeight w:val="262" w:hRule="atLeast"/>
        </w:trPr>
        <w:tc>
          <w:tcPr>
            <w:tcW w:type="dxa" w:w="607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0" w:lineRule="atLeas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The pupil can </w:t>
            </w:r>
          </w:p>
        </w:tc>
        <w:tc>
          <w:tcPr>
            <w:tcW w:type="dxa" w:w="160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0" w:lineRule="atLeast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 Met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607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write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for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a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range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purposes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607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use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paragraphs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to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organise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ideas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607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narratives,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describe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settings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characters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607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non-narrative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writing,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use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simple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devices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to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structure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the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writing</w:t>
            </w:r>
            <w:r>
              <w:rPr>
                <w:spacing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and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support the</w:t>
            </w:r>
            <w:r>
              <w:rPr>
                <w:spacing w:val="46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reader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(e.g. headings,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sub-headings,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bullet points)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2557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5"/>
              </w:numPr>
              <w:spacing w:after="0" w:line="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use mostly correctly:</w:t>
            </w:r>
          </w:p>
        </w:tc>
        <w:tc>
          <w:tcPr>
            <w:tcW w:type="dxa" w:w="35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capital letters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255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35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full stops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255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35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question marks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255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35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commas for lists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255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35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apostrophes for contraction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9" w:hRule="atLeast"/>
        </w:trPr>
        <w:tc>
          <w:tcPr>
            <w:tcW w:type="dxa" w:w="607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spelling most words correctly from the year 3 and 4 spelling list *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7" w:hRule="atLeast"/>
        </w:trPr>
        <w:tc>
          <w:tcPr>
            <w:tcW w:type="dxa" w:w="607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spelling some words correctly from the year 5 and 6 spelling list*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91" w:hRule="atLeast"/>
        </w:trPr>
        <w:tc>
          <w:tcPr>
            <w:tcW w:type="dxa" w:w="607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write legibly.</w:t>
            </w:r>
            <w:r>
              <w:rPr>
                <w:position w:val="16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 Spacing"/>
        <w:widowControl w:val="0"/>
        <w:rPr>
          <w:b w:val="1"/>
          <w:bCs w:val="1"/>
          <w:sz w:val="40"/>
          <w:szCs w:val="40"/>
        </w:rPr>
      </w:pPr>
    </w:p>
    <w:p>
      <w:pPr>
        <w:pStyle w:val="No Spacing"/>
      </w:pPr>
      <w:r>
        <w:rPr>
          <w:rtl w:val="0"/>
          <w:lang w:val="en-US"/>
        </w:rPr>
        <w:t>*</w:t>
      </w:r>
      <w:r>
        <w:rPr>
          <w:spacing w:val="-19"/>
          <w:rtl w:val="0"/>
          <w:lang w:val="en-US"/>
        </w:rPr>
        <w:t xml:space="preserve"> </w:t>
      </w:r>
      <w:r>
        <w:rPr>
          <w:rtl w:val="0"/>
          <w:lang w:val="en-US"/>
        </w:rPr>
        <w:t>These</w:t>
      </w:r>
      <w:r>
        <w:rPr>
          <w:spacing w:val="-5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are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detailed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word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lists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within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spelling</w:t>
      </w:r>
      <w:r>
        <w:rPr>
          <w:spacing w:val="-5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appendix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national</w:t>
      </w:r>
      <w:r>
        <w:rPr>
          <w:spacing w:val="-6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curriculum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(English</w:t>
      </w:r>
      <w:r>
        <w:rPr>
          <w:spacing w:val="69"/>
          <w:rtl w:val="0"/>
          <w:lang w:val="en-US"/>
        </w:rPr>
        <w:t xml:space="preserve"> </w:t>
      </w:r>
      <w:r>
        <w:rPr>
          <w:rtl w:val="0"/>
          <w:lang w:val="en-US"/>
        </w:rPr>
        <w:t>Appendix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1).</w:t>
      </w:r>
      <w:r>
        <w:rPr>
          <w:spacing w:val="-5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Teachers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should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refer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these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exemplify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-5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words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pupils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should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able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spell.</w:t>
      </w:r>
    </w:p>
    <w:p>
      <w:pPr>
        <w:pStyle w:val="No Spacing"/>
        <w:rPr>
          <w:spacing w:val="0"/>
        </w:rPr>
      </w:pPr>
      <w:r>
        <w:rPr>
          <w:position w:val="14"/>
          <w:rtl w:val="0"/>
          <w:lang w:val="en-US"/>
        </w:rPr>
        <w:t>1</w:t>
      </w:r>
      <w:r>
        <w:rPr>
          <w:spacing w:val="15"/>
          <w:position w:val="14"/>
          <w:rtl w:val="0"/>
          <w:lang w:val="en-US"/>
        </w:rPr>
        <w:t xml:space="preserve"> </w:t>
      </w:r>
      <w:r>
        <w:rPr>
          <w:rtl w:val="0"/>
          <w:lang w:val="en-US"/>
        </w:rPr>
        <w:t>At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standard,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there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is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no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specific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requirement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for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pupil</w:t>
      </w:r>
      <w:r>
        <w:rPr>
          <w:rFonts w:ascii="Arial" w:hAnsi="Arial" w:hint="default"/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handwriting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-5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joined.</w:t>
      </w:r>
    </w:p>
    <w:p>
      <w:pPr>
        <w:pStyle w:val="No Spacing"/>
      </w:pPr>
    </w:p>
    <w:tbl>
      <w:tblPr>
        <w:tblW w:w="141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573"/>
        <w:gridCol w:w="2652"/>
        <w:gridCol w:w="1572"/>
        <w:gridCol w:w="1573"/>
        <w:gridCol w:w="1572"/>
        <w:gridCol w:w="1573"/>
        <w:gridCol w:w="1655"/>
      </w:tblGrid>
      <w:tr>
        <w:tblPrEx>
          <w:shd w:val="clear" w:color="auto" w:fill="d0ddef"/>
        </w:tblPrEx>
        <w:trPr>
          <w:trHeight w:val="391" w:hRule="atLeast"/>
        </w:trPr>
        <w:tc>
          <w:tcPr>
            <w:tcW w:type="dxa" w:w="1417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36"/>
                <w:szCs w:val="36"/>
                <w:shd w:val="nil" w:color="auto" w:fill="auto"/>
                <w:rtl w:val="0"/>
                <w:lang w:val="en-US"/>
              </w:rPr>
              <w:t xml:space="preserve">End of key stage 2 statutory assessment </w:t>
            </w:r>
            <w:r>
              <w:rPr>
                <w:sz w:val="36"/>
                <w:szCs w:val="3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36"/>
                <w:szCs w:val="36"/>
                <w:shd w:val="nil" w:color="auto" w:fill="auto"/>
                <w:rtl w:val="0"/>
                <w:lang w:val="en-US"/>
              </w:rPr>
              <w:t>Working at the expected standard</w:t>
            </w:r>
          </w:p>
        </w:tc>
      </w:tr>
      <w:tr>
        <w:tblPrEx>
          <w:shd w:val="clear" w:color="auto" w:fill="d0ddef"/>
        </w:tblPrEx>
        <w:trPr>
          <w:trHeight w:val="237" w:hRule="atLeast"/>
        </w:trPr>
        <w:tc>
          <w:tcPr>
            <w:tcW w:type="dxa" w:w="62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The pupil can 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Criteria Met</w:t>
            </w:r>
          </w:p>
        </w:tc>
      </w:tr>
      <w:tr>
        <w:tblPrEx>
          <w:shd w:val="clear" w:color="auto" w:fill="d0ddef"/>
        </w:tblPrEx>
        <w:trPr>
          <w:trHeight w:val="1003" w:hRule="atLeast"/>
        </w:trPr>
        <w:tc>
          <w:tcPr>
            <w:tcW w:type="dxa" w:w="62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9"/>
              </w:numPr>
              <w:suppressAutoHyphens w:val="0"/>
              <w:spacing w:before="78" w:after="0" w:line="239" w:lineRule="auto"/>
              <w:ind w:right="24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write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effectively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for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range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purposes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audiences, selecting</w:t>
            </w:r>
            <w:r>
              <w:rPr>
                <w:spacing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language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that</w:t>
            </w:r>
            <w:r>
              <w:rPr>
                <w:spacing w:val="39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shows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good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awareness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reader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(e.g.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use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first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person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a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diary;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direct</w:t>
            </w:r>
            <w:r>
              <w:rPr>
                <w:spacing w:val="39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address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instructions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persuasive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writing)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6" w:hRule="atLeast"/>
        </w:trPr>
        <w:tc>
          <w:tcPr>
            <w:tcW w:type="dxa" w:w="62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0"/>
              </w:numPr>
              <w:suppressAutoHyphens w:val="0"/>
              <w:spacing w:before="99" w:after="0" w:line="240" w:lineRule="auto"/>
              <w:ind w:right="24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narratives,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describe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settings, characters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atmosphere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6" w:hRule="atLeast"/>
        </w:trPr>
        <w:tc>
          <w:tcPr>
            <w:tcW w:type="dxa" w:w="62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1"/>
              </w:numPr>
              <w:suppressAutoHyphens w:val="0"/>
              <w:spacing w:before="97" w:after="0" w:line="240" w:lineRule="auto"/>
              <w:ind w:right="24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integrate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dialogue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narratives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to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convey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character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advance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action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62" w:hRule="atLeast"/>
        </w:trPr>
        <w:tc>
          <w:tcPr>
            <w:tcW w:type="dxa" w:w="62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2"/>
              </w:numPr>
              <w:suppressAutoHyphens w:val="0"/>
              <w:spacing w:before="100" w:after="0" w:line="239" w:lineRule="auto"/>
              <w:ind w:right="24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select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vocabulary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grammatical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structures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that reflect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what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writing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requires,</w:t>
            </w:r>
            <w:r>
              <w:rPr>
                <w:spacing w:val="57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doing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this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mostly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appropriately (e.g.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using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contracted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forms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dialogues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narrative;</w:t>
            </w:r>
            <w:r>
              <w:rPr>
                <w:spacing w:val="57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using</w:t>
            </w:r>
            <w:r>
              <w:rPr>
                <w:spacing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passive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verbs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affect how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information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presented; using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modal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verbs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49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suggest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degrees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possibility)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66" w:hRule="atLeast"/>
        </w:trPr>
        <w:tc>
          <w:tcPr>
            <w:tcW w:type="dxa" w:w="62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3"/>
              </w:numPr>
              <w:suppressAutoHyphens w:val="0"/>
              <w:spacing w:before="119" w:after="0" w:line="252" w:lineRule="exact"/>
              <w:ind w:right="24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use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a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range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devices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to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build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cohesion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(e.g.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conjunctions,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adverbials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time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3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place,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pronouns,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synonyms) within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across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paragraphs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6" w:hRule="atLeast"/>
        </w:trPr>
        <w:tc>
          <w:tcPr>
            <w:tcW w:type="dxa" w:w="62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4"/>
              </w:numPr>
              <w:suppressAutoHyphens w:val="0"/>
              <w:spacing w:before="95" w:after="0" w:line="240" w:lineRule="auto"/>
              <w:ind w:right="24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use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verb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tenses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consistently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correctly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throughout their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writing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57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5"/>
              </w:numPr>
              <w:suppressAutoHyphens w:val="0"/>
              <w:spacing w:before="119" w:after="0" w:line="252" w:lineRule="exact"/>
              <w:ind w:right="24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use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range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punctuation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taught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at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key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stage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2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mostly correctly^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(e.g.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inverted</w:t>
            </w:r>
            <w:r>
              <w:rPr>
                <w:spacing w:val="6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commas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other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punctuation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to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indicate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direct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speech)</w:t>
            </w:r>
          </w:p>
        </w:tc>
        <w:tc>
          <w:tcPr>
            <w:tcW w:type="dxa" w:w="2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2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inverted commas^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5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2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commas for clarity^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6" w:hRule="atLeast"/>
        </w:trPr>
        <w:tc>
          <w:tcPr>
            <w:tcW w:type="dxa" w:w="35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2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punctuation for parenthesis^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5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2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semi- colons^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5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2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dashes^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5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2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hyphens^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5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2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colons^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6" w:hRule="atLeast"/>
        </w:trPr>
        <w:tc>
          <w:tcPr>
            <w:tcW w:type="dxa" w:w="62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6"/>
              </w:numPr>
              <w:suppressAutoHyphens w:val="0"/>
              <w:spacing w:before="97" w:after="0" w:line="240" w:lineRule="auto"/>
              <w:ind w:right="24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spell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correctly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most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words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from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year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year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spelling</w:t>
            </w:r>
            <w:r>
              <w:rPr>
                <w:spacing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list,*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use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dictionary</w:t>
            </w:r>
            <w:r>
              <w:rPr>
                <w:spacing w:val="6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to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check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the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spelling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uncommon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or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more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ambitious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vocabulary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62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7"/>
              </w:numPr>
              <w:suppressAutoHyphens w:val="0"/>
              <w:spacing w:before="97" w:after="0" w:line="240" w:lineRule="auto"/>
              <w:ind w:right="24"/>
              <w:rPr>
                <w:spacing w:val="0"/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maintain legibility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joined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handwriting</w:t>
            </w:r>
            <w:r>
              <w:rPr>
                <w:spacing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when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writing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at speed.</w:t>
            </w:r>
            <w:r>
              <w:rPr>
                <w:spacing w:val="0"/>
                <w:position w:val="16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 Spacing"/>
        <w:widowControl w:val="0"/>
      </w:pPr>
    </w:p>
    <w:p>
      <w:pPr>
        <w:pStyle w:val="No Spacing"/>
      </w:pPr>
    </w:p>
    <w:p>
      <w:pPr>
        <w:pStyle w:val="No Spacing"/>
        <w:rPr>
          <w:b w:val="1"/>
          <w:bCs w:val="1"/>
          <w:spacing w:val="0"/>
        </w:rPr>
      </w:pPr>
      <w:r>
        <w:rPr>
          <w:rtl w:val="0"/>
          <w:lang w:val="en-US"/>
        </w:rPr>
        <w:t>^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This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relates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punctuation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taught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national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curriculum,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which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is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detailed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-5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grammar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40"/>
          <w:rtl w:val="0"/>
          <w:lang w:val="en-US"/>
        </w:rPr>
        <w:t xml:space="preserve"> </w:t>
      </w:r>
      <w:r>
        <w:rPr>
          <w:rtl w:val="0"/>
          <w:lang w:val="en-US"/>
        </w:rPr>
        <w:t>punctuation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appendix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national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curriculum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(English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Appendix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2).</w:t>
      </w:r>
      <w:r>
        <w:rPr>
          <w:spacing w:val="-6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Pupils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are</w:t>
      </w:r>
      <w:r>
        <w:rPr>
          <w:spacing w:val="-6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expected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able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use</w:t>
      </w:r>
      <w:r>
        <w:rPr>
          <w:spacing w:val="68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-5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range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punctuation</w:t>
      </w:r>
      <w:r>
        <w:rPr>
          <w:spacing w:val="-3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shown</w:t>
      </w:r>
      <w:r>
        <w:rPr>
          <w:spacing w:val="-5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here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their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writing,</w:t>
      </w:r>
      <w:r>
        <w:rPr>
          <w:spacing w:val="-3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but</w:t>
      </w:r>
      <w:r>
        <w:rPr>
          <w:b w:val="1"/>
          <w:bCs w:val="1"/>
          <w:spacing w:val="-5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this</w:t>
      </w:r>
      <w:r>
        <w:rPr>
          <w:b w:val="1"/>
          <w:bCs w:val="1"/>
          <w:spacing w:val="-3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does</w:t>
      </w:r>
      <w:r>
        <w:rPr>
          <w:b w:val="1"/>
          <w:bCs w:val="1"/>
          <w:spacing w:val="-3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not</w:t>
      </w:r>
      <w:r>
        <w:rPr>
          <w:b w:val="1"/>
          <w:bCs w:val="1"/>
          <w:spacing w:val="-5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mean</w:t>
      </w:r>
      <w:r>
        <w:rPr>
          <w:b w:val="1"/>
          <w:bCs w:val="1"/>
          <w:spacing w:val="-5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that</w:t>
      </w:r>
      <w:r>
        <w:rPr>
          <w:b w:val="1"/>
          <w:bCs w:val="1"/>
          <w:spacing w:val="-3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every</w:t>
      </w:r>
      <w:r>
        <w:rPr>
          <w:b w:val="1"/>
          <w:bCs w:val="1"/>
          <w:spacing w:val="-3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single</w:t>
      </w:r>
      <w:r>
        <w:rPr>
          <w:b w:val="1"/>
          <w:bCs w:val="1"/>
          <w:spacing w:val="-5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punctuation</w:t>
      </w:r>
      <w:r>
        <w:rPr>
          <w:b w:val="1"/>
          <w:bCs w:val="1"/>
          <w:spacing w:val="63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mark</w:t>
      </w:r>
      <w:r>
        <w:rPr>
          <w:b w:val="1"/>
          <w:bCs w:val="1"/>
          <w:spacing w:val="-3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must</w:t>
      </w:r>
      <w:r>
        <w:rPr>
          <w:b w:val="1"/>
          <w:bCs w:val="1"/>
          <w:spacing w:val="-6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be</w:t>
      </w:r>
      <w:r>
        <w:rPr>
          <w:b w:val="1"/>
          <w:bCs w:val="1"/>
          <w:spacing w:val="-6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evident.</w:t>
      </w: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rtl w:val="0"/>
          <w:lang w:val="en-US"/>
        </w:rPr>
        <w:t>*These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detailed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word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lists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within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spelling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appendix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national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curriculum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(English</w:t>
      </w:r>
      <w:r>
        <w:rPr>
          <w:spacing w:val="-1"/>
          <w:rtl w:val="0"/>
          <w:lang w:val="en-US"/>
        </w:rPr>
        <w:t xml:space="preserve"> </w:t>
      </w:r>
      <w:r>
        <w:rPr>
          <w:rtl w:val="0"/>
          <w:lang w:val="en-US"/>
        </w:rPr>
        <w:t>Appendix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1).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Teachers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refer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these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exemplify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words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pupils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able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spell.</w:t>
      </w:r>
    </w:p>
    <w:p>
      <w:pPr>
        <w:pStyle w:val="No Spacing"/>
        <w:jc w:val="both"/>
      </w:pPr>
    </w:p>
    <w:p>
      <w:pPr>
        <w:pStyle w:val="No Spacing"/>
        <w:jc w:val="both"/>
      </w:pPr>
      <w:r>
        <w:rPr>
          <w:position w:val="14"/>
          <w:rtl w:val="0"/>
          <w:lang w:val="en-US"/>
        </w:rPr>
        <w:t>2</w:t>
      </w:r>
      <w:r>
        <w:rPr>
          <w:spacing w:val="-1"/>
          <w:position w:val="14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national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curriculum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states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pupils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should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taught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use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diagonal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horizontal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strokes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that</w:t>
      </w:r>
      <w:r>
        <w:rPr>
          <w:spacing w:val="-1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needed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join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letters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understand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which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letters,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when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adjacent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one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another,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best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left</w:t>
      </w:r>
      <w:r>
        <w:rPr>
          <w:spacing w:val="-1"/>
          <w:rtl w:val="0"/>
          <w:lang w:val="en-US"/>
        </w:rPr>
        <w:t xml:space="preserve"> </w:t>
      </w:r>
      <w:r>
        <w:rPr>
          <w:rtl w:val="0"/>
          <w:lang w:val="en-US"/>
        </w:rPr>
        <w:t>unjoined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.</w:t>
      </w:r>
    </w:p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</w:rPr>
      </w:pPr>
    </w:p>
    <w:p>
      <w:pPr>
        <w:pStyle w:val="No Spacing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PTO</w:t>
      </w:r>
    </w:p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415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103"/>
        <w:gridCol w:w="1595"/>
        <w:gridCol w:w="1595"/>
        <w:gridCol w:w="1595"/>
        <w:gridCol w:w="1595"/>
        <w:gridCol w:w="1676"/>
      </w:tblGrid>
      <w:tr>
        <w:tblPrEx>
          <w:shd w:val="clear" w:color="auto" w:fill="d0ddef"/>
        </w:tblPrEx>
        <w:trPr>
          <w:trHeight w:val="393" w:hRule="atLeast"/>
        </w:trPr>
        <w:tc>
          <w:tcPr>
            <w:tcW w:type="dxa" w:w="14159"/>
            <w:gridSpan w:val="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36"/>
                <w:szCs w:val="36"/>
                <w:shd w:val="nil" w:color="auto" w:fill="auto"/>
                <w:rtl w:val="0"/>
                <w:lang w:val="en-US"/>
              </w:rPr>
              <w:t xml:space="preserve">End of key stage 2 statutory assessment </w:t>
            </w:r>
            <w:r>
              <w:rPr>
                <w:sz w:val="36"/>
                <w:szCs w:val="3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36"/>
                <w:szCs w:val="36"/>
                <w:shd w:val="nil" w:color="auto" w:fill="auto"/>
                <w:rtl w:val="0"/>
                <w:lang w:val="en-US"/>
              </w:rPr>
              <w:t>Working at Greater depth</w:t>
            </w:r>
          </w:p>
        </w:tc>
      </w:tr>
      <w:tr>
        <w:tblPrEx>
          <w:shd w:val="clear" w:color="auto" w:fill="d0ddef"/>
        </w:tblPrEx>
        <w:trPr>
          <w:trHeight w:val="437" w:hRule="atLeast"/>
        </w:trPr>
        <w:tc>
          <w:tcPr>
            <w:tcW w:type="dxa" w:w="6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The pupil can 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Criteria Met</w:t>
            </w:r>
          </w:p>
        </w:tc>
      </w:tr>
      <w:tr>
        <w:tblPrEx>
          <w:shd w:val="clear" w:color="auto" w:fill="d0ddef"/>
        </w:tblPrEx>
        <w:trPr>
          <w:trHeight w:val="1018" w:hRule="atLeast"/>
        </w:trPr>
        <w:tc>
          <w:tcPr>
            <w:tcW w:type="dxa" w:w="6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8"/>
              </w:numPr>
              <w:suppressAutoHyphens w:val="0"/>
              <w:spacing w:before="97" w:after="0" w:line="252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write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effectively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for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range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purposes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audiences, selecting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the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appropriate</w:t>
            </w:r>
            <w:r>
              <w:rPr>
                <w:spacing w:val="39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form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drawing</w:t>
            </w:r>
            <w:r>
              <w:rPr>
                <w:spacing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independently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on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what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they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have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read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models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for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their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own</w:t>
            </w:r>
            <w:r>
              <w:rPr>
                <w:spacing w:val="49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writing</w:t>
            </w:r>
            <w:r>
              <w:rPr>
                <w:spacing w:val="2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(e.g. literary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language,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characterisation,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structure)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14" w:hRule="atLeast"/>
        </w:trPr>
        <w:tc>
          <w:tcPr>
            <w:tcW w:type="dxa" w:w="6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9"/>
              </w:numPr>
              <w:suppressAutoHyphens w:val="0"/>
              <w:spacing w:before="117" w:after="0" w:line="252" w:lineRule="exact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distinguish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between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the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language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speech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writing</w:t>
            </w:r>
            <w:r>
              <w:rPr>
                <w:spacing w:val="0"/>
                <w:position w:val="16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  <w:r>
              <w:rPr>
                <w:spacing w:val="23"/>
                <w:position w:val="16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choose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the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appropriate</w:t>
            </w:r>
            <w:r>
              <w:rPr>
                <w:spacing w:val="67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register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66" w:hRule="atLeast"/>
        </w:trPr>
        <w:tc>
          <w:tcPr>
            <w:tcW w:type="dxa" w:w="6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20"/>
              </w:numPr>
              <w:suppressAutoHyphens w:val="0"/>
              <w:spacing w:before="117" w:after="0" w:line="252" w:lineRule="exact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exercise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assured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conscious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control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over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levels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of formality,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particularly</w:t>
            </w:r>
            <w:r>
              <w:rPr>
                <w:spacing w:val="49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through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manipulating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grammar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vocabulary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achieve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this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03" w:hRule="atLeast"/>
        </w:trPr>
        <w:tc>
          <w:tcPr>
            <w:tcW w:type="dxa" w:w="6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21"/>
              </w:numPr>
              <w:suppressAutoHyphens w:val="0"/>
              <w:spacing w:before="96" w:after="0" w:line="239" w:lineRule="auto"/>
              <w:rPr>
                <w:sz w:val="20"/>
                <w:szCs w:val="20"/>
                <w:lang w:val="en-US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use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the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range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of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punctuation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taught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at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key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stage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correctly (e.g.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semi-colons,</w:t>
            </w:r>
            <w:r>
              <w:rPr>
                <w:spacing w:val="6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dashes, colons,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hyphens)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and,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when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necessary, use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such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punctuation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precisely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4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enhance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meaning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and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avoid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ambiguity.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sz w:val="18"/>
          <w:szCs w:val="18"/>
        </w:rPr>
      </w:pPr>
    </w:p>
    <w:p>
      <w:pPr>
        <w:pStyle w:val="No Spacing"/>
        <w:rPr>
          <w:spacing w:val="0"/>
        </w:rPr>
      </w:pPr>
      <w:r>
        <w:rPr>
          <w:position w:val="14"/>
          <w:rtl w:val="0"/>
          <w:lang w:val="en-US"/>
        </w:rPr>
        <w:t>3</w:t>
      </w:r>
      <w:r>
        <w:rPr>
          <w:spacing w:val="13"/>
          <w:position w:val="14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Pupils</w:t>
      </w:r>
      <w:r>
        <w:rPr>
          <w:spacing w:val="-3"/>
          <w:rtl w:val="0"/>
          <w:lang w:val="en-US"/>
        </w:rPr>
        <w:t xml:space="preserve"> </w:t>
      </w:r>
      <w:r>
        <w:rPr>
          <w:rtl w:val="0"/>
          <w:lang w:val="en-US"/>
        </w:rPr>
        <w:t>should</w:t>
      </w:r>
      <w:r>
        <w:rPr>
          <w:spacing w:val="-6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recognise</w:t>
      </w:r>
      <w:r>
        <w:rPr>
          <w:spacing w:val="-5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that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certain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features</w:t>
      </w:r>
      <w:r>
        <w:rPr>
          <w:spacing w:val="-3"/>
          <w:rtl w:val="0"/>
          <w:lang w:val="en-US"/>
        </w:rPr>
        <w:t xml:space="preserve"> </w:t>
      </w:r>
      <w:r>
        <w:rPr>
          <w:spacing w:val="-1"/>
          <w:rtl w:val="0"/>
          <w:lang w:val="en-US"/>
        </w:rPr>
        <w:t>of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spoken</w:t>
      </w:r>
      <w:r>
        <w:rPr>
          <w:spacing w:val="-5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language</w:t>
      </w:r>
      <w:r>
        <w:rPr>
          <w:spacing w:val="-6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(e.g.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contracted</w:t>
      </w:r>
      <w:r>
        <w:rPr>
          <w:spacing w:val="-6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verb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forms,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other</w:t>
      </w:r>
      <w:r>
        <w:rPr>
          <w:spacing w:val="71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grammatical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informality,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colloquial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expressions,</w:t>
      </w:r>
      <w:r>
        <w:rPr>
          <w:spacing w:val="-9"/>
          <w:rtl w:val="0"/>
          <w:lang w:val="en-US"/>
        </w:rPr>
        <w:t xml:space="preserve"> </w:t>
      </w:r>
      <w:r>
        <w:rPr>
          <w:rtl w:val="0"/>
          <w:lang w:val="en-US"/>
        </w:rPr>
        <w:t>long</w:t>
      </w:r>
      <w:r>
        <w:rPr>
          <w:spacing w:val="-7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coordinated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sentences)</w:t>
      </w:r>
      <w:r>
        <w:rPr>
          <w:spacing w:val="-7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are</w:t>
      </w:r>
      <w:r>
        <w:rPr>
          <w:spacing w:val="-7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less</w:t>
      </w:r>
      <w:r>
        <w:rPr>
          <w:spacing w:val="-5"/>
          <w:rtl w:val="0"/>
          <w:lang w:val="en-US"/>
        </w:rPr>
        <w:t xml:space="preserve"> </w:t>
      </w:r>
      <w:r>
        <w:rPr>
          <w:rtl w:val="0"/>
          <w:lang w:val="en-US"/>
        </w:rPr>
        <w:t>likely</w:t>
      </w:r>
      <w:r>
        <w:rPr>
          <w:spacing w:val="-9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writing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-6"/>
          <w:rtl w:val="0"/>
          <w:lang w:val="en-US"/>
        </w:rPr>
        <w:t xml:space="preserve"> </w:t>
      </w:r>
      <w:r>
        <w:rPr>
          <w:rtl w:val="0"/>
          <w:lang w:val="en-US"/>
        </w:rPr>
        <w:t>be</w:t>
      </w:r>
      <w:r>
        <w:rPr>
          <w:spacing w:val="63"/>
          <w:rtl w:val="0"/>
          <w:lang w:val="en-US"/>
        </w:rPr>
        <w:t xml:space="preserve"> </w:t>
      </w:r>
      <w:r>
        <w:rPr>
          <w:rtl w:val="0"/>
          <w:lang w:val="en-US"/>
        </w:rPr>
        <w:t>able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select</w:t>
      </w:r>
      <w:r>
        <w:rPr>
          <w:spacing w:val="-6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alternative</w:t>
      </w:r>
      <w:r>
        <w:rPr>
          <w:spacing w:val="-7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vocabulary</w:t>
      </w:r>
      <w:r>
        <w:rPr>
          <w:spacing w:val="-7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-7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grammar.</w:t>
      </w:r>
    </w:p>
    <w:p>
      <w:pPr>
        <w:pStyle w:val="No Spacing"/>
        <w:rPr>
          <w:spacing w:val="0"/>
        </w:rPr>
      </w:pPr>
    </w:p>
    <w:p>
      <w:pPr>
        <w:pStyle w:val="No Spacing"/>
        <w:rPr>
          <w:spacing w:val="0"/>
        </w:rPr>
      </w:pPr>
    </w:p>
    <w:p>
      <w:pPr>
        <w:pStyle w:val="No Spacing"/>
        <w:rPr>
          <w:spacing w:val="0"/>
        </w:rPr>
      </w:pPr>
    </w:p>
    <w:p>
      <w:pPr>
        <w:pStyle w:val="No Spacing"/>
      </w:pPr>
    </w:p>
    <w:p>
      <w:pPr>
        <w:pStyle w:val="Body"/>
        <w:suppressAutoHyphens w:val="0"/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Class punctuation log: who uses what punctuation and with what accuracy?</w:t>
      </w:r>
    </w:p>
    <w:p>
      <w:pPr>
        <w:pStyle w:val="Body"/>
        <w:suppressAutoHyphens w:val="0"/>
        <w:spacing w:after="160" w:line="259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(NB to be at </w:t>
      </w:r>
      <w:r>
        <w:rPr>
          <w:i w:val="1"/>
          <w:iCs w:val="1"/>
          <w:rtl w:val="1"/>
        </w:rPr>
        <w:t>‘</w:t>
      </w:r>
      <w:r>
        <w:rPr>
          <w:i w:val="1"/>
          <w:iCs w:val="1"/>
          <w:rtl w:val="0"/>
          <w:lang w:val="en-US"/>
        </w:rPr>
        <w:t>expected</w:t>
      </w:r>
      <w:r>
        <w:rPr>
          <w:i w:val="1"/>
          <w:iCs w:val="1"/>
          <w:rtl w:val="1"/>
        </w:rPr>
        <w:t xml:space="preserve">’ </w:t>
      </w:r>
      <w:r>
        <w:rPr>
          <w:i w:val="1"/>
          <w:iCs w:val="1"/>
          <w:rtl w:val="0"/>
          <w:lang w:val="en-US"/>
        </w:rPr>
        <w:t>standard, not all punctuation needs to be evident- but if it is evident- it should be used mostly accurately)</w:t>
      </w:r>
    </w:p>
    <w:tbl>
      <w:tblPr>
        <w:tblW w:w="1457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44"/>
        <w:gridCol w:w="403"/>
        <w:gridCol w:w="414"/>
        <w:gridCol w:w="414"/>
        <w:gridCol w:w="414"/>
        <w:gridCol w:w="414"/>
        <w:gridCol w:w="414"/>
        <w:gridCol w:w="415"/>
        <w:gridCol w:w="414"/>
        <w:gridCol w:w="414"/>
        <w:gridCol w:w="414"/>
        <w:gridCol w:w="415"/>
        <w:gridCol w:w="415"/>
        <w:gridCol w:w="416"/>
        <w:gridCol w:w="415"/>
        <w:gridCol w:w="415"/>
        <w:gridCol w:w="415"/>
        <w:gridCol w:w="415"/>
        <w:gridCol w:w="415"/>
        <w:gridCol w:w="416"/>
        <w:gridCol w:w="415"/>
        <w:gridCol w:w="415"/>
        <w:gridCol w:w="415"/>
        <w:gridCol w:w="415"/>
        <w:gridCol w:w="415"/>
        <w:gridCol w:w="416"/>
        <w:gridCol w:w="415"/>
        <w:gridCol w:w="415"/>
        <w:gridCol w:w="415"/>
        <w:gridCol w:w="415"/>
        <w:gridCol w:w="415"/>
      </w:tblGrid>
      <w:tr>
        <w:tblPrEx>
          <w:shd w:val="clear" w:color="auto" w:fill="d0ddef"/>
        </w:tblPrEx>
        <w:trPr>
          <w:trHeight w:val="1697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Name</w:t>
            </w: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Punctuation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capital letters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full stops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question marks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commas for lists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apostrophes for contraction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Apostrophes for possession (singular &amp; plural) 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inverted commas and other punctuation to indicate direct speech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comma after fronted adverbial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commas for clarity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punctuation for parenthesis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semi- colons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dashes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hyphens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1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colons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111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31" w:firstLine="0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Tendency to comma splice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6" w:hRule="atLeast"/>
        </w:trPr>
        <w:tc>
          <w:tcPr>
            <w:tcW w:type="dxa" w:w="2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Tendency to put capital letters in the wrong places</w:t>
            </w:r>
          </w:p>
        </w:tc>
        <w:tc>
          <w:tcPr>
            <w:tcW w:type="dxa" w:w="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uppressAutoHyphens w:val="0"/>
        <w:spacing w:after="160" w:line="240" w:lineRule="auto"/>
        <w:jc w:val="center"/>
        <w:rPr>
          <w:i w:val="1"/>
          <w:iCs w:val="1"/>
        </w:rPr>
      </w:pPr>
    </w:p>
    <w:p>
      <w:pPr>
        <w:pStyle w:val="Body"/>
      </w:pPr>
    </w:p>
    <w:p>
      <w:pPr>
        <w:pStyle w:val="Body"/>
        <w:jc w:val="center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3317240</wp:posOffset>
            </wp:positionH>
            <wp:positionV relativeFrom="page">
              <wp:posOffset>13144500</wp:posOffset>
            </wp:positionV>
            <wp:extent cx="2595880" cy="1225550"/>
            <wp:effectExtent l="0" t="0" r="0" b="0"/>
            <wp:wrapSquare wrapText="bothSides" distL="57150" distR="57150" distT="57150" distB="57150"/>
            <wp:docPr id="1073741826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4" descr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1225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6840" w:h="23820" w:orient="portrait"/>
      <w:pgMar w:top="709" w:right="1387" w:bottom="709" w:left="127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636" w:hanging="3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35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07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79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1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3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95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67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39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6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26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26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6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26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26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6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26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26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6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26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26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6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26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26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6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26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26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6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26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26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6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26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26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·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6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26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26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567"/>
        </w:tabs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7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7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567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567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7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567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567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7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567"/>
        </w:tabs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7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7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567"/>
        </w:tabs>
        <w:ind w:left="25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567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7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567"/>
        </w:tabs>
        <w:ind w:left="47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567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7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567"/>
        </w:tabs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7"/>
        </w:tabs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7"/>
        </w:tabs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567"/>
        </w:tabs>
        <w:ind w:left="258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7"/>
        </w:tabs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7"/>
        </w:tabs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567"/>
        </w:tabs>
        <w:ind w:left="474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7"/>
        </w:tabs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7"/>
        </w:tabs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616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16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16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616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16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16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616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16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16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